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bookmarkStart w:id="0" w:name="_GoBack"/>
      <w:bookmarkEnd w:id="0"/>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H - Principiul de a nu „prejudicia în mod semnificativ” (do no significat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lastRenderedPageBreak/>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Fonts w:asciiTheme="minorHAnsi" w:hAnsiTheme="minorHAnsi" w:cstheme="minorHAnsi"/>
          <w:b/>
          <w:bCs/>
          <w:sz w:val="24"/>
        </w:rPr>
        <w:t>Activele fixe</w:t>
      </w:r>
      <w:r w:rsidRPr="00675AE2">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necorporale</w:t>
      </w:r>
      <w:r w:rsidRPr="00675AE2">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675AE2">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corporale</w:t>
      </w:r>
      <w:r w:rsidRPr="00675AE2">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675AE2">
        <w:rPr>
          <w:rFonts w:asciiTheme="minorHAnsi" w:hAnsiTheme="minorHAnsi" w:cstheme="minorHAnsi"/>
          <w:b/>
          <w:sz w:val="24"/>
        </w:rPr>
        <w:t xml:space="preserve"> </w:t>
      </w:r>
      <w:r w:rsidRPr="00675AE2">
        <w:rPr>
          <w:rFonts w:asciiTheme="minorHAnsi" w:hAnsiTheme="minorHAnsi" w:cstheme="minorHAnsi"/>
          <w:sz w:val="24"/>
        </w:rPr>
        <w:t>acestea pot fi terenuri, clădiri și instalații, utilaje și echipamente;</w:t>
      </w:r>
    </w:p>
    <w:p w14:paraId="697E2DB6" w14:textId="77777777" w:rsidR="00D9159A" w:rsidRPr="00675AE2"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Activitate economică</w:t>
      </w:r>
      <w:r w:rsidRPr="00675AE2">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675AE2"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Ajutor de stat</w:t>
      </w:r>
      <w:r w:rsidRPr="00675AE2">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675AE2"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675AE2">
        <w:rPr>
          <w:rFonts w:asciiTheme="minorHAnsi" w:hAnsiTheme="minorHAnsi" w:cstheme="minorHAnsi"/>
          <w:b/>
          <w:sz w:val="24"/>
        </w:rPr>
        <w:t>Analiza DNSH</w:t>
      </w:r>
      <w:r w:rsidRPr="00675AE2">
        <w:rPr>
          <w:rFonts w:asciiTheme="minorHAnsi" w:hAnsiTheme="minorHAnsi" w:cstheme="minorHAnsi"/>
          <w:sz w:val="24"/>
        </w:rPr>
        <w:t xml:space="preserve"> – </w:t>
      </w:r>
      <w:r w:rsidR="00880E9E" w:rsidRPr="00675AE2">
        <w:rPr>
          <w:rFonts w:asciiTheme="minorHAnsi" w:hAnsiTheme="minorHAnsi" w:cstheme="minorHAnsi"/>
          <w:sz w:val="24"/>
          <w:shd w:val="clear" w:color="auto" w:fill="FFFFFF"/>
        </w:rPr>
        <w:t>analiza realizată</w:t>
      </w:r>
      <w:r w:rsidRPr="00675AE2">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675AE2"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Caracterul durabil </w:t>
      </w:r>
      <w:r w:rsidRPr="00675AE2">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675AE2"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675AE2"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675AE2">
        <w:rPr>
          <w:rFonts w:asciiTheme="minorHAnsi" w:hAnsiTheme="minorHAnsi" w:cstheme="minorHAnsi"/>
          <w:b/>
          <w:sz w:val="24"/>
        </w:rPr>
        <w:t xml:space="preserve">Contractul de finanțare </w:t>
      </w:r>
      <w:r w:rsidRPr="00675AE2">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675AE2" w:rsidRDefault="00E564E4" w:rsidP="00D87A5D">
      <w:pPr>
        <w:spacing w:after="0"/>
        <w:jc w:val="both"/>
        <w:rPr>
          <w:rFonts w:asciiTheme="minorHAnsi" w:eastAsiaTheme="minorHAnsi" w:hAnsiTheme="minorHAnsi" w:cstheme="minorHAnsi"/>
          <w:sz w:val="24"/>
        </w:rPr>
      </w:pPr>
      <w:r w:rsidRPr="00675AE2">
        <w:rPr>
          <w:rFonts w:asciiTheme="minorHAnsi" w:eastAsiaTheme="minorHAnsi" w:hAnsiTheme="minorHAnsi" w:cstheme="minorHAnsi"/>
          <w:b/>
          <w:sz w:val="24"/>
        </w:rPr>
        <w:t xml:space="preserve">Imobilul </w:t>
      </w:r>
      <w:r w:rsidRPr="00675AE2">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675AE2" w:rsidRDefault="00FC1128" w:rsidP="00D87A5D">
      <w:pPr>
        <w:spacing w:after="0"/>
        <w:jc w:val="both"/>
        <w:rPr>
          <w:rFonts w:asciiTheme="minorHAnsi" w:eastAsiaTheme="minorHAnsi" w:hAnsiTheme="minorHAnsi" w:cstheme="minorHAnsi"/>
          <w:color w:val="1F497D" w:themeColor="text2"/>
          <w:sz w:val="24"/>
        </w:rPr>
      </w:pPr>
      <w:r w:rsidRPr="00675AE2">
        <w:rPr>
          <w:rFonts w:asciiTheme="minorHAnsi" w:hAnsiTheme="minorHAnsi" w:cstheme="minorHAnsi"/>
          <w:b/>
          <w:color w:val="1F497D" w:themeColor="text2"/>
          <w:sz w:val="24"/>
          <w:shd w:val="clear" w:color="auto" w:fill="FFFFFF"/>
        </w:rPr>
        <w:t>Imunizare la schimbările climatice</w:t>
      </w:r>
      <w:r w:rsidRPr="00675AE2">
        <w:rPr>
          <w:rFonts w:asciiTheme="minorHAnsi" w:hAnsiTheme="minorHAnsi" w:cstheme="minorHAnsi"/>
          <w:color w:val="1F497D" w:themeColor="text2"/>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675AE2" w:rsidRDefault="0098638A" w:rsidP="0098638A">
      <w:pPr>
        <w:spacing w:after="0"/>
        <w:jc w:val="both"/>
        <w:rPr>
          <w:rFonts w:asciiTheme="minorHAnsi" w:hAnsiTheme="minorHAnsi" w:cstheme="minorHAnsi"/>
          <w:sz w:val="24"/>
        </w:rPr>
      </w:pPr>
      <w:r w:rsidRPr="00675AE2">
        <w:rPr>
          <w:rFonts w:asciiTheme="minorHAnsi" w:hAnsiTheme="minorHAnsi" w:cstheme="minorHAnsi"/>
          <w:b/>
          <w:sz w:val="24"/>
        </w:rPr>
        <w:t xml:space="preserve">PMUD - </w:t>
      </w:r>
      <w:r w:rsidRPr="00675AE2">
        <w:rPr>
          <w:rFonts w:asciiTheme="minorHAnsi" w:hAnsiTheme="minorHAnsi" w:cstheme="minorHAnsi"/>
          <w:sz w:val="24"/>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675AE2" w:rsidRDefault="00E564E4" w:rsidP="00762DED">
      <w:pPr>
        <w:widowControl w:val="0"/>
        <w:pBdr>
          <w:top w:val="nil"/>
          <w:left w:val="nil"/>
          <w:bottom w:val="nil"/>
          <w:right w:val="nil"/>
          <w:between w:val="nil"/>
        </w:pBdr>
        <w:spacing w:after="0"/>
        <w:jc w:val="both"/>
        <w:rPr>
          <w:rFonts w:asciiTheme="minorHAnsi" w:hAnsiTheme="minorHAnsi" w:cstheme="minorHAnsi"/>
          <w:sz w:val="24"/>
        </w:rPr>
      </w:pPr>
      <w:r w:rsidRPr="00675AE2">
        <w:rPr>
          <w:rFonts w:asciiTheme="minorHAnsi" w:hAnsiTheme="minorHAnsi" w:cstheme="minorHAnsi"/>
          <w:b/>
          <w:sz w:val="24"/>
        </w:rPr>
        <w:t>Punctul de reîncărcare</w:t>
      </w:r>
      <w:r w:rsidRPr="00675AE2">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762DED" w:rsidRPr="00675AE2">
        <w:rPr>
          <w:rFonts w:asciiTheme="minorHAnsi" w:hAnsiTheme="minorHAnsi" w:cstheme="minorHAnsi"/>
          <w:sz w:val="24"/>
        </w:rPr>
        <w:t xml:space="preserve"> </w:t>
      </w:r>
    </w:p>
    <w:p w14:paraId="40EB9437" w14:textId="17794E44"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Regiunea de Dezvoltare </w:t>
      </w:r>
      <w:r w:rsidR="00D93EDC" w:rsidRPr="00675AE2">
        <w:rPr>
          <w:rFonts w:asciiTheme="minorHAnsi" w:hAnsiTheme="minorHAnsi" w:cstheme="minorHAnsi"/>
          <w:b/>
          <w:sz w:val="24"/>
        </w:rPr>
        <w:t>Sud</w:t>
      </w:r>
      <w:r w:rsidRPr="00675AE2">
        <w:rPr>
          <w:rFonts w:asciiTheme="minorHAnsi" w:hAnsiTheme="minorHAnsi" w:cstheme="minorHAnsi"/>
          <w:b/>
          <w:sz w:val="24"/>
        </w:rPr>
        <w:t>-Vest</w:t>
      </w:r>
      <w:r w:rsidR="00D93EDC" w:rsidRPr="00675AE2">
        <w:rPr>
          <w:rFonts w:asciiTheme="minorHAnsi" w:hAnsiTheme="minorHAnsi" w:cstheme="minorHAnsi"/>
          <w:b/>
          <w:sz w:val="24"/>
        </w:rPr>
        <w:t xml:space="preserve"> Oltenia</w:t>
      </w:r>
      <w:r w:rsidRPr="00675AE2">
        <w:rPr>
          <w:rFonts w:asciiTheme="minorHAnsi" w:hAnsiTheme="minorHAnsi" w:cstheme="minorHAnsi"/>
          <w:sz w:val="24"/>
        </w:rPr>
        <w:t xml:space="preserve"> cuprinde județele</w:t>
      </w:r>
      <w:r w:rsidR="00D93EDC" w:rsidRPr="00675AE2">
        <w:rPr>
          <w:rFonts w:asciiTheme="minorHAnsi" w:hAnsiTheme="minorHAnsi" w:cstheme="minorHAnsi"/>
          <w:sz w:val="24"/>
        </w:rPr>
        <w:t xml:space="preserve"> </w:t>
      </w:r>
      <w:hyperlink r:id="rId8" w:tooltip="Dolj" w:history="1">
        <w:r w:rsidR="00D93EDC" w:rsidRPr="00675AE2">
          <w:rPr>
            <w:rStyle w:val="Hyperlink"/>
            <w:rFonts w:asciiTheme="minorHAnsi" w:hAnsiTheme="minorHAnsi" w:cstheme="minorHAnsi"/>
            <w:color w:val="auto"/>
            <w:sz w:val="24"/>
            <w:shd w:val="clear" w:color="auto" w:fill="FFFFFF"/>
          </w:rPr>
          <w:t>Dolj</w:t>
        </w:r>
      </w:hyperlink>
      <w:r w:rsidR="00D93EDC" w:rsidRPr="00675AE2">
        <w:rPr>
          <w:rFonts w:asciiTheme="minorHAnsi" w:hAnsiTheme="minorHAnsi" w:cstheme="minorHAnsi"/>
          <w:sz w:val="24"/>
          <w:shd w:val="clear" w:color="auto" w:fill="FFFFFF"/>
        </w:rPr>
        <w:t>, </w:t>
      </w:r>
      <w:hyperlink r:id="rId9" w:tooltip="Gorj" w:history="1">
        <w:r w:rsidR="00D93EDC" w:rsidRPr="00675AE2">
          <w:rPr>
            <w:rStyle w:val="Hyperlink"/>
            <w:rFonts w:asciiTheme="minorHAnsi" w:hAnsiTheme="minorHAnsi" w:cstheme="minorHAnsi"/>
            <w:color w:val="auto"/>
            <w:sz w:val="24"/>
            <w:shd w:val="clear" w:color="auto" w:fill="FFFFFF"/>
          </w:rPr>
          <w:t>Gorj</w:t>
        </w:r>
      </w:hyperlink>
      <w:r w:rsidR="00D93EDC" w:rsidRPr="00675AE2">
        <w:rPr>
          <w:rFonts w:asciiTheme="minorHAnsi" w:hAnsiTheme="minorHAnsi" w:cstheme="minorHAnsi"/>
          <w:sz w:val="24"/>
          <w:shd w:val="clear" w:color="auto" w:fill="FFFFFF"/>
        </w:rPr>
        <w:t>, </w:t>
      </w:r>
      <w:hyperlink r:id="rId10" w:tooltip="Mehedinți" w:history="1">
        <w:r w:rsidR="00D93EDC" w:rsidRPr="00675AE2">
          <w:rPr>
            <w:rStyle w:val="Hyperlink"/>
            <w:rFonts w:asciiTheme="minorHAnsi" w:hAnsiTheme="minorHAnsi" w:cstheme="minorHAnsi"/>
            <w:color w:val="auto"/>
            <w:sz w:val="24"/>
            <w:shd w:val="clear" w:color="auto" w:fill="FFFFFF"/>
          </w:rPr>
          <w:t>Mehedinți</w:t>
        </w:r>
      </w:hyperlink>
      <w:r w:rsidR="00D93EDC" w:rsidRPr="00675AE2">
        <w:rPr>
          <w:rFonts w:asciiTheme="minorHAnsi" w:hAnsiTheme="minorHAnsi" w:cstheme="minorHAnsi"/>
          <w:sz w:val="24"/>
          <w:shd w:val="clear" w:color="auto" w:fill="FFFFFF"/>
        </w:rPr>
        <w:t>, </w:t>
      </w:r>
      <w:hyperlink r:id="rId11" w:tooltip="Olt" w:history="1">
        <w:r w:rsidR="00D93EDC" w:rsidRPr="00675AE2">
          <w:rPr>
            <w:rStyle w:val="Hyperlink"/>
            <w:rFonts w:asciiTheme="minorHAnsi" w:hAnsiTheme="minorHAnsi" w:cstheme="minorHAnsi"/>
            <w:color w:val="auto"/>
            <w:sz w:val="24"/>
            <w:shd w:val="clear" w:color="auto" w:fill="FFFFFF"/>
          </w:rPr>
          <w:t>Olt</w:t>
        </w:r>
      </w:hyperlink>
      <w:r w:rsidR="00D93EDC" w:rsidRPr="00675AE2">
        <w:rPr>
          <w:rFonts w:asciiTheme="minorHAnsi" w:hAnsiTheme="minorHAnsi" w:cstheme="minorHAnsi"/>
          <w:sz w:val="24"/>
          <w:shd w:val="clear" w:color="auto" w:fill="FFFFFF"/>
        </w:rPr>
        <w:t> și </w:t>
      </w:r>
      <w:hyperlink r:id="rId12" w:tooltip="Vâlcea" w:history="1">
        <w:r w:rsidR="00D93EDC" w:rsidRPr="00675AE2">
          <w:rPr>
            <w:rStyle w:val="Hyperlink"/>
            <w:rFonts w:asciiTheme="minorHAnsi" w:hAnsiTheme="minorHAnsi" w:cstheme="minorHAnsi"/>
            <w:color w:val="auto"/>
            <w:sz w:val="24"/>
            <w:shd w:val="clear" w:color="auto" w:fill="FFFFFF"/>
          </w:rPr>
          <w:t>Vâlcea</w:t>
        </w:r>
      </w:hyperlink>
      <w:r w:rsidRPr="00675AE2">
        <w:rPr>
          <w:rFonts w:asciiTheme="minorHAnsi" w:hAnsiTheme="minorHAnsi" w:cstheme="minorHAnsi"/>
          <w:sz w:val="24"/>
        </w:rPr>
        <w:t>, astfel cum au fost acestea grupate în cadrul Anexei la Legea nr. 315 din 28 iunie 2004 privind dezvoltarea regională în România.</w:t>
      </w:r>
      <w:r w:rsidRPr="00675AE2">
        <w:rPr>
          <w:rFonts w:asciiTheme="minorHAnsi" w:hAnsiTheme="minorHAnsi" w:cstheme="minorHAnsi"/>
          <w:sz w:val="24"/>
          <w:vertAlign w:val="superscript"/>
        </w:rPr>
        <w:t xml:space="preserve"> </w:t>
      </w:r>
      <w:r w:rsidRPr="00675AE2">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15426482" w14:textId="38B9238A" w:rsidR="00E564E4" w:rsidRPr="00675AE2" w:rsidRDefault="002703FB" w:rsidP="00675AE2">
      <w:pPr>
        <w:widowControl w:val="0"/>
        <w:pBdr>
          <w:top w:val="nil"/>
          <w:left w:val="nil"/>
          <w:bottom w:val="nil"/>
          <w:right w:val="nil"/>
          <w:between w:val="nil"/>
        </w:pBdr>
        <w:spacing w:before="240" w:after="0"/>
        <w:jc w:val="both"/>
        <w:rPr>
          <w:rFonts w:asciiTheme="minorHAnsi" w:hAnsiTheme="minorHAnsi" w:cstheme="minorHAnsi"/>
          <w:b/>
          <w:szCs w:val="20"/>
        </w:rPr>
      </w:pPr>
      <w:r w:rsidRPr="00675AE2">
        <w:rPr>
          <w:rFonts w:asciiTheme="minorHAnsi" w:hAnsiTheme="minorHAnsi" w:cstheme="minorHAnsi"/>
          <w:b/>
          <w:sz w:val="24"/>
        </w:rPr>
        <w:t>Studiul de trafic</w:t>
      </w:r>
      <w:r w:rsidRPr="00675AE2">
        <w:rPr>
          <w:rFonts w:asciiTheme="minorHAnsi" w:hAnsiTheme="minorHAnsi" w:cstheme="minorHAnsi"/>
          <w:sz w:val="24"/>
        </w:rPr>
        <w:t xml:space="preserve"> reprezintă un studiu de specialitate, în conformitate cu prevederile HG nr. 907/2016, cu modificările și completările ulterioare, în </w:t>
      </w:r>
      <w:r w:rsidR="00325CB6" w:rsidRPr="00675AE2">
        <w:rPr>
          <w:rFonts w:asciiTheme="minorHAnsi" w:hAnsiTheme="minorHAnsi" w:cstheme="minorHAnsi"/>
          <w:sz w:val="24"/>
        </w:rPr>
        <w:t xml:space="preserve">care se </w:t>
      </w:r>
      <w:r w:rsidR="00755A69" w:rsidRPr="00675AE2">
        <w:rPr>
          <w:rFonts w:asciiTheme="minorHAnsi" w:hAnsiTheme="minorHAnsi" w:cstheme="minorHAnsi"/>
          <w:sz w:val="24"/>
        </w:rPr>
        <w:t>analizeaz</w:t>
      </w:r>
      <w:r w:rsidRPr="00675AE2">
        <w:rPr>
          <w:rFonts w:asciiTheme="minorHAnsi" w:hAnsiTheme="minorHAnsi" w:cstheme="minorHAnsi"/>
          <w:sz w:val="24"/>
        </w:rPr>
        <w:t>ă situația actuală a circulației rutiere și în care se</w:t>
      </w:r>
      <w:r w:rsidR="00325CB6" w:rsidRPr="00675AE2">
        <w:rPr>
          <w:rFonts w:asciiTheme="minorHAnsi" w:hAnsiTheme="minorHAnsi" w:cstheme="minorHAnsi"/>
          <w:sz w:val="24"/>
        </w:rPr>
        <w:t xml:space="preserve"> </w:t>
      </w:r>
      <w:r w:rsidRPr="00675AE2">
        <w:rPr>
          <w:rFonts w:asciiTheme="minorHAnsi" w:hAnsiTheme="minorHAnsi" w:cstheme="minorHAnsi"/>
          <w:sz w:val="24"/>
        </w:rPr>
        <w:t>estimează</w:t>
      </w:r>
      <w:r w:rsidR="00325CB6" w:rsidRPr="00675AE2">
        <w:rPr>
          <w:rFonts w:asciiTheme="minorHAnsi" w:hAnsiTheme="minorHAnsi" w:cstheme="minorHAnsi"/>
          <w:sz w:val="24"/>
        </w:rPr>
        <w:t xml:space="preserve"> efectele </w:t>
      </w:r>
      <w:r w:rsidRPr="00675AE2">
        <w:rPr>
          <w:rFonts w:asciiTheme="minorHAnsi" w:hAnsiTheme="minorHAnsi" w:cstheme="minorHAnsi"/>
          <w:sz w:val="24"/>
        </w:rPr>
        <w:t>generat</w:t>
      </w:r>
      <w:r w:rsidR="00325CB6" w:rsidRPr="00675AE2">
        <w:rPr>
          <w:rFonts w:asciiTheme="minorHAnsi" w:hAnsiTheme="minorHAnsi" w:cstheme="minorHAnsi"/>
          <w:sz w:val="24"/>
        </w:rPr>
        <w:t xml:space="preserve">e </w:t>
      </w:r>
      <w:r w:rsidRPr="00675AE2">
        <w:rPr>
          <w:rFonts w:asciiTheme="minorHAnsi" w:hAnsiTheme="minorHAnsi" w:cstheme="minorHAnsi"/>
          <w:sz w:val="24"/>
        </w:rPr>
        <w:t>în urma implementări investiţiilor</w:t>
      </w:r>
      <w:r w:rsidR="00D9159A" w:rsidRPr="00675AE2">
        <w:rPr>
          <w:rFonts w:asciiTheme="minorHAnsi" w:hAnsiTheme="minorHAnsi" w:cstheme="minorHAnsi"/>
          <w:sz w:val="24"/>
        </w:rPr>
        <w:t xml:space="preserve"> </w:t>
      </w:r>
      <w:r w:rsidRPr="00675AE2">
        <w:rPr>
          <w:rFonts w:asciiTheme="minorHAnsi" w:hAnsiTheme="minorHAnsi" w:cstheme="minorHAnsi"/>
          <w:sz w:val="24"/>
        </w:rPr>
        <w:t>privind infrastructura de transport</w:t>
      </w:r>
      <w:r w:rsidR="00755A69" w:rsidRPr="00675AE2">
        <w:rPr>
          <w:rFonts w:asciiTheme="minorHAnsi" w:hAnsiTheme="minorHAnsi" w:cstheme="minorHAnsi"/>
          <w:sz w:val="24"/>
        </w:rPr>
        <w:t xml:space="preserve"> asupra acesteia</w:t>
      </w:r>
      <w:r w:rsidRPr="00675AE2">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40405" w14:textId="77777777" w:rsidR="00564D99" w:rsidRDefault="00564D99" w:rsidP="007D26DE">
      <w:pPr>
        <w:spacing w:before="0" w:after="0"/>
      </w:pPr>
      <w:r>
        <w:separator/>
      </w:r>
    </w:p>
  </w:endnote>
  <w:endnote w:type="continuationSeparator" w:id="0">
    <w:p w14:paraId="431C4D07" w14:textId="77777777" w:rsidR="00564D99" w:rsidRDefault="00564D99"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7E5EF9">
          <w:rPr>
            <w:noProof/>
          </w:rPr>
          <w:t>1</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7EF67" w14:textId="77777777" w:rsidR="00564D99" w:rsidRDefault="00564D99" w:rsidP="007D26DE">
      <w:pPr>
        <w:spacing w:before="0" w:after="0"/>
      </w:pPr>
      <w:r>
        <w:separator/>
      </w:r>
    </w:p>
  </w:footnote>
  <w:footnote w:type="continuationSeparator" w:id="0">
    <w:p w14:paraId="21226D7E" w14:textId="77777777" w:rsidR="00564D99" w:rsidRDefault="00564D99" w:rsidP="007D26D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675AE2" w14:paraId="3413D440" w14:textId="77777777" w:rsidTr="00181583">
      <w:tc>
        <w:tcPr>
          <w:tcW w:w="8041" w:type="dxa"/>
          <w:tcBorders>
            <w:bottom w:val="single" w:sz="4" w:space="0" w:color="333333"/>
          </w:tcBorders>
        </w:tcPr>
        <w:p w14:paraId="294BFF75" w14:textId="301A412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 xml:space="preserve">Programul Regional Sud-Vest </w:t>
          </w:r>
          <w:r w:rsidR="00652705" w:rsidRPr="00675AE2">
            <w:rPr>
              <w:rFonts w:asciiTheme="minorHAnsi" w:hAnsiTheme="minorHAnsi" w:cstheme="minorHAnsi"/>
              <w:b/>
              <w:sz w:val="16"/>
              <w:szCs w:val="16"/>
            </w:rPr>
            <w:t xml:space="preserve">Oltenia </w:t>
          </w:r>
          <w:r w:rsidRPr="00675AE2">
            <w:rPr>
              <w:rFonts w:asciiTheme="minorHAnsi" w:hAnsiTheme="minorHAnsi" w:cstheme="minorHAnsi"/>
              <w:b/>
              <w:sz w:val="16"/>
              <w:szCs w:val="16"/>
            </w:rPr>
            <w:t>2021-2027</w:t>
          </w:r>
        </w:p>
        <w:p w14:paraId="6393FF92" w14:textId="7777777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Prioritatea 5: Accesibilitate și conectivitate la nivel regional</w:t>
          </w:r>
        </w:p>
        <w:p w14:paraId="3FC07C99" w14:textId="7777777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0C9F2527" w14:textId="5678DD63" w:rsidR="001B7380"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Acţiunea A: Conectivitate regională și îmbunătățirea accesului la TEN-T</w:t>
          </w:r>
        </w:p>
      </w:tc>
      <w:tc>
        <w:tcPr>
          <w:tcW w:w="1156"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1B7380" w:rsidRPr="00675AE2" w14:paraId="7B323817" w14:textId="77777777" w:rsidTr="00181583">
      <w:trPr>
        <w:cantSplit/>
      </w:trPr>
      <w:tc>
        <w:tcPr>
          <w:tcW w:w="9197" w:type="dxa"/>
          <w:gridSpan w:val="2"/>
          <w:tcBorders>
            <w:top w:val="nil"/>
            <w:bottom w:val="nil"/>
          </w:tcBorders>
        </w:tcPr>
        <w:p w14:paraId="77C27C94" w14:textId="77777777" w:rsidR="001B7380" w:rsidRPr="00675AE2" w:rsidRDefault="001B7380" w:rsidP="001B7380">
          <w:pPr>
            <w:tabs>
              <w:tab w:val="center" w:pos="4536"/>
              <w:tab w:val="right" w:pos="9072"/>
            </w:tabs>
            <w:spacing w:after="0"/>
            <w:rPr>
              <w:rFonts w:asciiTheme="minorHAnsi" w:hAnsiTheme="minorHAnsi" w:cstheme="minorHAnsi"/>
              <w:b/>
              <w:bCs/>
              <w:sz w:val="16"/>
              <w:szCs w:val="16"/>
            </w:rPr>
          </w:pPr>
        </w:p>
      </w:tc>
    </w:tr>
  </w:tbl>
  <w:p w14:paraId="509ED426" w14:textId="7C41D310"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Pr="00675AE2">
      <w:rPr>
        <w:rFonts w:asciiTheme="minorHAnsi" w:hAnsiTheme="minorHAnsi" w:cstheme="minorHAnsi"/>
        <w:b/>
        <w:sz w:val="16"/>
        <w:szCs w:val="16"/>
        <w:lang w:val="pt-BR"/>
      </w:rPr>
      <w:t>PR SV/</w:t>
    </w:r>
    <w:r w:rsidR="007E5EF9">
      <w:rPr>
        <w:rFonts w:asciiTheme="minorHAnsi" w:hAnsiTheme="minorHAnsi" w:cstheme="minorHAnsi"/>
        <w:b/>
        <w:sz w:val="16"/>
        <w:szCs w:val="16"/>
        <w:lang w:val="pt-BR"/>
      </w:rPr>
      <w:t>A1/5/3.2/2023</w:t>
    </w:r>
    <w:r w:rsidRPr="00675AE2">
      <w:rPr>
        <w:rFonts w:asciiTheme="minorHAnsi" w:hAnsiTheme="minorHAnsi" w:cstheme="minorHAnsi"/>
        <w:b/>
        <w:sz w:val="16"/>
        <w:szCs w:val="16"/>
        <w:lang w:val="pt-BR"/>
      </w:rPr>
      <w:t xml:space="preserve"> – Anexa I</w:t>
    </w:r>
  </w:p>
  <w:p w14:paraId="783D9124" w14:textId="77777777" w:rsidR="007D26DE" w:rsidRPr="00675AE2"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075C"/>
    <w:rsid w:val="00026AC2"/>
    <w:rsid w:val="0005276E"/>
    <w:rsid w:val="00053FB7"/>
    <w:rsid w:val="00066CEF"/>
    <w:rsid w:val="00084BCD"/>
    <w:rsid w:val="00093968"/>
    <w:rsid w:val="000D566C"/>
    <w:rsid w:val="00123F22"/>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46C2E"/>
    <w:rsid w:val="00564D99"/>
    <w:rsid w:val="00574027"/>
    <w:rsid w:val="00585778"/>
    <w:rsid w:val="00594BD2"/>
    <w:rsid w:val="005970DE"/>
    <w:rsid w:val="00597D51"/>
    <w:rsid w:val="005E3349"/>
    <w:rsid w:val="005F5AB4"/>
    <w:rsid w:val="00602B28"/>
    <w:rsid w:val="0061695A"/>
    <w:rsid w:val="00623B42"/>
    <w:rsid w:val="00625C85"/>
    <w:rsid w:val="00652705"/>
    <w:rsid w:val="00652D21"/>
    <w:rsid w:val="00675AE2"/>
    <w:rsid w:val="0068121C"/>
    <w:rsid w:val="006B3552"/>
    <w:rsid w:val="006D4AAD"/>
    <w:rsid w:val="00705074"/>
    <w:rsid w:val="0073742C"/>
    <w:rsid w:val="00755A69"/>
    <w:rsid w:val="00755BE2"/>
    <w:rsid w:val="00760BD7"/>
    <w:rsid w:val="00762DED"/>
    <w:rsid w:val="00794623"/>
    <w:rsid w:val="007A11E4"/>
    <w:rsid w:val="007D26DE"/>
    <w:rsid w:val="007D6C8F"/>
    <w:rsid w:val="007E5EF9"/>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354D9-71C9-4B6F-B16A-BF034FA3C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2002</Words>
  <Characters>11615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TGJ2</cp:lastModifiedBy>
  <cp:revision>69</cp:revision>
  <cp:lastPrinted>2016-05-25T08:35:00Z</cp:lastPrinted>
  <dcterms:created xsi:type="dcterms:W3CDTF">2021-08-30T09:28:00Z</dcterms:created>
  <dcterms:modified xsi:type="dcterms:W3CDTF">2023-05-11T11:55:00Z</dcterms:modified>
</cp:coreProperties>
</file>